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C91" w:rsidRDefault="00B44C91" w:rsidP="00B44C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ПОКАНАЕВСКИЙ СЕЛЬСКИЙ</w:t>
      </w:r>
    </w:p>
    <w:p w:rsidR="00B44C91" w:rsidRDefault="00B44C91" w:rsidP="00B44C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СОВЕТ ДЕПУТАТОВ</w:t>
      </w:r>
      <w:r>
        <w:rPr>
          <w:rFonts w:ascii="Times New Roman" w:hAnsi="Times New Roman" w:cs="Times New Roman"/>
          <w:sz w:val="28"/>
          <w:szCs w:val="28"/>
        </w:rPr>
        <w:br/>
        <w:t>НИЖНЕИНГАШСКОГО РАЙОНА</w:t>
      </w:r>
    </w:p>
    <w:p w:rsidR="00B44C91" w:rsidRDefault="00B44C91" w:rsidP="00B44C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КРАСНОЯРСКОГО КРАЯ</w:t>
      </w:r>
    </w:p>
    <w:p w:rsidR="00B44C91" w:rsidRDefault="00B44C91" w:rsidP="00B44C91">
      <w:pPr>
        <w:spacing w:after="0" w:line="240" w:lineRule="auto"/>
        <w:jc w:val="center"/>
        <w:rPr>
          <w:rFonts w:ascii="Times New Roman" w:hAnsi="Times New Roman" w:cs="Times New Roman"/>
          <w:sz w:val="28"/>
          <w:szCs w:val="28"/>
        </w:rPr>
      </w:pPr>
    </w:p>
    <w:p w:rsidR="00B44C91" w:rsidRDefault="00B44C91" w:rsidP="00B44C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B44C91" w:rsidRDefault="00B44C91" w:rsidP="00B44C91">
      <w:pPr>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Е Ш Е Н И Е </w:t>
      </w:r>
    </w:p>
    <w:p w:rsidR="00B44C91" w:rsidRDefault="00B44C91" w:rsidP="00B44C91">
      <w:pPr>
        <w:spacing w:after="0" w:line="240" w:lineRule="auto"/>
        <w:rPr>
          <w:rFonts w:ascii="Times New Roman" w:hAnsi="Times New Roman" w:cs="Times New Roman"/>
          <w:sz w:val="28"/>
          <w:szCs w:val="28"/>
        </w:rPr>
      </w:pPr>
    </w:p>
    <w:p w:rsidR="00B44C91" w:rsidRDefault="00FD2241" w:rsidP="00B44C91">
      <w:pPr>
        <w:spacing w:after="0" w:line="240" w:lineRule="auto"/>
        <w:rPr>
          <w:rFonts w:ascii="Times New Roman" w:hAnsi="Times New Roman" w:cs="Times New Roman"/>
          <w:sz w:val="28"/>
          <w:szCs w:val="28"/>
        </w:rPr>
      </w:pPr>
      <w:r>
        <w:rPr>
          <w:rFonts w:ascii="Times New Roman" w:hAnsi="Times New Roman" w:cs="Times New Roman"/>
          <w:sz w:val="28"/>
          <w:szCs w:val="28"/>
        </w:rPr>
        <w:t>28</w:t>
      </w:r>
      <w:r w:rsidR="00B44C91">
        <w:rPr>
          <w:rFonts w:ascii="Times New Roman" w:hAnsi="Times New Roman" w:cs="Times New Roman"/>
          <w:sz w:val="28"/>
          <w:szCs w:val="28"/>
        </w:rPr>
        <w:t xml:space="preserve">.11.2018 г.                                                                                         № </w:t>
      </w:r>
      <w:r>
        <w:rPr>
          <w:rFonts w:ascii="Times New Roman" w:hAnsi="Times New Roman" w:cs="Times New Roman"/>
          <w:sz w:val="28"/>
          <w:szCs w:val="28"/>
        </w:rPr>
        <w:t>19-98</w:t>
      </w:r>
    </w:p>
    <w:p w:rsidR="00B44C91" w:rsidRDefault="00B44C91" w:rsidP="00B44C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B44C91" w:rsidRDefault="00B44C91" w:rsidP="00B44C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 налоге на имущество физических лиц </w:t>
      </w:r>
    </w:p>
    <w:p w:rsidR="00B44C91" w:rsidRDefault="00B44C91" w:rsidP="00B44C91">
      <w:pPr>
        <w:pStyle w:val="p2"/>
        <w:shd w:val="clear" w:color="auto" w:fill="FFFFFF"/>
        <w:spacing w:after="199" w:afterAutospacing="0"/>
        <w:rPr>
          <w:color w:val="000000"/>
          <w:sz w:val="28"/>
          <w:szCs w:val="28"/>
        </w:rPr>
      </w:pPr>
      <w:r>
        <w:rPr>
          <w:color w:val="000000"/>
          <w:sz w:val="28"/>
          <w:szCs w:val="28"/>
        </w:rPr>
        <w:t xml:space="preserve">        </w:t>
      </w:r>
      <w:proofErr w:type="gramStart"/>
      <w:r>
        <w:rPr>
          <w:color w:val="000000"/>
          <w:sz w:val="28"/>
          <w:szCs w:val="28"/>
        </w:rPr>
        <w:t>В соответствии с главой  32 Налогового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Красноярского края № 6-2108 от 01.11.2018 «Об установлении единой даты начала применения на территории Красноярского края порядка определения налоговой базы по налогу на имущество физический лиц исходя из кадастровой стоимости объектов налогообложения», руководствуясь Уставом Поканаевского сельсовета Нижнеингашского</w:t>
      </w:r>
      <w:proofErr w:type="gramEnd"/>
      <w:r>
        <w:rPr>
          <w:color w:val="000000"/>
          <w:sz w:val="28"/>
          <w:szCs w:val="28"/>
        </w:rPr>
        <w:t xml:space="preserve"> района  Красноярского края  Поканаевский сельский  Совет депутатов РЕШИЛ:  </w:t>
      </w:r>
    </w:p>
    <w:p w:rsidR="00B44C91" w:rsidRDefault="00B44C91" w:rsidP="00B44C91">
      <w:pPr>
        <w:pStyle w:val="p3"/>
        <w:shd w:val="clear" w:color="auto" w:fill="FFFFFF"/>
        <w:ind w:left="720" w:hanging="360"/>
        <w:rPr>
          <w:color w:val="000000"/>
          <w:sz w:val="28"/>
          <w:szCs w:val="28"/>
        </w:rPr>
      </w:pPr>
      <w:r>
        <w:rPr>
          <w:rStyle w:val="s1"/>
          <w:color w:val="000000"/>
          <w:sz w:val="28"/>
          <w:szCs w:val="28"/>
        </w:rPr>
        <w:t>1.</w:t>
      </w:r>
      <w:r>
        <w:rPr>
          <w:rStyle w:val="s1"/>
          <w:rFonts w:eastAsia="MS Mincho" w:hAnsi="MS Mincho" w:hint="eastAsia"/>
          <w:color w:val="000000"/>
          <w:sz w:val="28"/>
          <w:szCs w:val="28"/>
        </w:rPr>
        <w:t>​</w:t>
      </w:r>
      <w:r>
        <w:rPr>
          <w:rStyle w:val="s1"/>
          <w:color w:val="000000"/>
          <w:sz w:val="28"/>
          <w:szCs w:val="28"/>
        </w:rPr>
        <w:t> </w:t>
      </w:r>
      <w:r>
        <w:rPr>
          <w:color w:val="000000"/>
          <w:sz w:val="28"/>
          <w:szCs w:val="28"/>
        </w:rPr>
        <w:t>Установить на территории Поканаевского сельсовета Нижнеингашского района Красноярского края налог на имущество физических лиц.</w:t>
      </w:r>
    </w:p>
    <w:p w:rsidR="00B44C91" w:rsidRDefault="00B44C91" w:rsidP="00B44C91">
      <w:pPr>
        <w:pStyle w:val="p2"/>
        <w:shd w:val="clear" w:color="auto" w:fill="FFFFFF"/>
        <w:spacing w:after="199" w:afterAutospacing="0"/>
        <w:rPr>
          <w:color w:val="000000"/>
          <w:sz w:val="28"/>
          <w:szCs w:val="28"/>
        </w:rPr>
      </w:pPr>
      <w:r>
        <w:rPr>
          <w:color w:val="000000"/>
          <w:sz w:val="28"/>
          <w:szCs w:val="28"/>
        </w:rPr>
        <w:t xml:space="preserve">      2.Налоговые ставки устанавливаются в следующих размерах от кадастровой стоимости:</w:t>
      </w:r>
    </w:p>
    <w:p w:rsidR="00B44C91" w:rsidRDefault="00B44C91" w:rsidP="00B44C91">
      <w:pPr>
        <w:pStyle w:val="p2"/>
        <w:shd w:val="clear" w:color="auto" w:fill="FFFFFF"/>
        <w:spacing w:after="199" w:afterAutospacing="0"/>
        <w:rPr>
          <w:color w:val="000000"/>
          <w:sz w:val="28"/>
          <w:szCs w:val="28"/>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2"/>
        <w:gridCol w:w="7155"/>
        <w:gridCol w:w="1605"/>
      </w:tblGrid>
      <w:tr w:rsidR="00B44C91" w:rsidTr="00B44C91">
        <w:trPr>
          <w:trHeight w:val="615"/>
        </w:trPr>
        <w:tc>
          <w:tcPr>
            <w:tcW w:w="495" w:type="dxa"/>
            <w:tcBorders>
              <w:bottom w:val="single" w:sz="4" w:space="0" w:color="auto"/>
            </w:tcBorders>
          </w:tcPr>
          <w:p w:rsidR="00B44C91" w:rsidRDefault="00B44C91" w:rsidP="00B44C91">
            <w:pPr>
              <w:pStyle w:val="p2"/>
              <w:shd w:val="clear" w:color="auto" w:fill="FFFFFF"/>
              <w:spacing w:before="0" w:beforeAutospacing="0" w:after="0" w:afterAutospacing="0"/>
              <w:rPr>
                <w:color w:val="000000"/>
                <w:sz w:val="28"/>
                <w:szCs w:val="28"/>
              </w:rPr>
            </w:pPr>
            <w:r>
              <w:rPr>
                <w:color w:val="000000"/>
                <w:sz w:val="28"/>
                <w:szCs w:val="28"/>
              </w:rPr>
              <w:t xml:space="preserve">№ </w:t>
            </w:r>
          </w:p>
          <w:p w:rsidR="00B44C91" w:rsidRDefault="00B44C91" w:rsidP="00B44C91">
            <w:pPr>
              <w:pStyle w:val="p2"/>
              <w:shd w:val="clear" w:color="auto" w:fill="FFFFFF"/>
              <w:spacing w:before="0" w:beforeAutospacing="0" w:after="0" w:afterAutospacing="0"/>
              <w:rPr>
                <w:color w:val="000000"/>
                <w:sz w:val="28"/>
                <w:szCs w:val="28"/>
              </w:rPr>
            </w:pPr>
            <w:proofErr w:type="spellStart"/>
            <w:proofErr w:type="gramStart"/>
            <w:r>
              <w:rPr>
                <w:color w:val="000000"/>
                <w:sz w:val="28"/>
                <w:szCs w:val="28"/>
              </w:rPr>
              <w:t>п</w:t>
            </w:r>
            <w:proofErr w:type="spellEnd"/>
            <w:proofErr w:type="gramEnd"/>
            <w:r>
              <w:rPr>
                <w:color w:val="000000"/>
                <w:sz w:val="28"/>
                <w:szCs w:val="28"/>
              </w:rPr>
              <w:t>/</w:t>
            </w:r>
            <w:proofErr w:type="spellStart"/>
            <w:r>
              <w:rPr>
                <w:color w:val="000000"/>
                <w:sz w:val="28"/>
                <w:szCs w:val="28"/>
              </w:rPr>
              <w:t>п</w:t>
            </w:r>
            <w:proofErr w:type="spellEnd"/>
          </w:p>
        </w:tc>
        <w:tc>
          <w:tcPr>
            <w:tcW w:w="7155" w:type="dxa"/>
          </w:tcPr>
          <w:p w:rsidR="00B44C91" w:rsidRDefault="00B44C91" w:rsidP="00B44C91">
            <w:pPr>
              <w:pStyle w:val="p2"/>
              <w:shd w:val="clear" w:color="auto" w:fill="FFFFFF"/>
              <w:spacing w:before="0" w:beforeAutospacing="0" w:after="0" w:afterAutospacing="0"/>
              <w:rPr>
                <w:color w:val="000000"/>
                <w:sz w:val="28"/>
                <w:szCs w:val="28"/>
              </w:rPr>
            </w:pPr>
            <w:r>
              <w:rPr>
                <w:color w:val="000000"/>
                <w:sz w:val="28"/>
                <w:szCs w:val="28"/>
              </w:rPr>
              <w:t xml:space="preserve">                       </w:t>
            </w:r>
          </w:p>
          <w:p w:rsidR="00B44C91" w:rsidRDefault="00B44C91" w:rsidP="00B44C91">
            <w:pPr>
              <w:pStyle w:val="p2"/>
              <w:shd w:val="clear" w:color="auto" w:fill="FFFFFF"/>
              <w:spacing w:before="0" w:beforeAutospacing="0" w:after="0" w:afterAutospacing="0"/>
              <w:rPr>
                <w:color w:val="000000"/>
                <w:sz w:val="28"/>
                <w:szCs w:val="28"/>
              </w:rPr>
            </w:pPr>
            <w:r>
              <w:rPr>
                <w:color w:val="000000"/>
                <w:sz w:val="28"/>
                <w:szCs w:val="28"/>
              </w:rPr>
              <w:t xml:space="preserve">                          Объект налогообложения</w:t>
            </w:r>
          </w:p>
        </w:tc>
        <w:tc>
          <w:tcPr>
            <w:tcW w:w="1605" w:type="dxa"/>
          </w:tcPr>
          <w:p w:rsidR="00B44C91" w:rsidRDefault="00B44C91" w:rsidP="00B44C91">
            <w:pPr>
              <w:pStyle w:val="p2"/>
              <w:shd w:val="clear" w:color="auto" w:fill="FFFFFF"/>
              <w:spacing w:before="0" w:beforeAutospacing="0" w:after="0" w:afterAutospacing="0"/>
              <w:rPr>
                <w:color w:val="000000"/>
                <w:sz w:val="28"/>
                <w:szCs w:val="28"/>
              </w:rPr>
            </w:pPr>
            <w:r>
              <w:rPr>
                <w:color w:val="000000"/>
                <w:sz w:val="28"/>
                <w:szCs w:val="28"/>
              </w:rPr>
              <w:t>Налоговая</w:t>
            </w:r>
          </w:p>
          <w:p w:rsidR="00B44C91" w:rsidRDefault="00B44C91" w:rsidP="00B44C91">
            <w:pPr>
              <w:pStyle w:val="p2"/>
              <w:shd w:val="clear" w:color="auto" w:fill="FFFFFF"/>
              <w:spacing w:before="0" w:beforeAutospacing="0" w:after="0" w:afterAutospacing="0"/>
              <w:rPr>
                <w:color w:val="000000"/>
                <w:sz w:val="28"/>
                <w:szCs w:val="28"/>
              </w:rPr>
            </w:pPr>
            <w:r>
              <w:rPr>
                <w:color w:val="000000"/>
                <w:sz w:val="28"/>
                <w:szCs w:val="28"/>
              </w:rPr>
              <w:t>ставка (</w:t>
            </w:r>
            <w:proofErr w:type="gramStart"/>
            <w:r>
              <w:rPr>
                <w:color w:val="000000"/>
                <w:sz w:val="28"/>
                <w:szCs w:val="28"/>
              </w:rPr>
              <w:t>в</w:t>
            </w:r>
            <w:proofErr w:type="gramEnd"/>
            <w:r>
              <w:rPr>
                <w:color w:val="000000"/>
                <w:sz w:val="28"/>
                <w:szCs w:val="28"/>
              </w:rPr>
              <w:t xml:space="preserve"> %)</w:t>
            </w:r>
          </w:p>
        </w:tc>
      </w:tr>
      <w:tr w:rsidR="00B44C91" w:rsidTr="00B44C91">
        <w:trPr>
          <w:trHeight w:val="127"/>
        </w:trPr>
        <w:tc>
          <w:tcPr>
            <w:tcW w:w="495" w:type="dxa"/>
            <w:tcBorders>
              <w:bottom w:val="single" w:sz="4" w:space="0" w:color="auto"/>
            </w:tcBorders>
          </w:tcPr>
          <w:p w:rsidR="00B44C91" w:rsidRDefault="00B44C91" w:rsidP="00B44C91">
            <w:pPr>
              <w:pStyle w:val="p2"/>
              <w:shd w:val="clear" w:color="auto" w:fill="FFFFFF"/>
              <w:spacing w:after="199"/>
              <w:ind w:left="6"/>
              <w:rPr>
                <w:color w:val="000000"/>
                <w:sz w:val="28"/>
                <w:szCs w:val="28"/>
              </w:rPr>
            </w:pPr>
            <w:r>
              <w:rPr>
                <w:color w:val="000000"/>
                <w:sz w:val="28"/>
                <w:szCs w:val="28"/>
              </w:rPr>
              <w:t>1.</w:t>
            </w:r>
          </w:p>
        </w:tc>
        <w:tc>
          <w:tcPr>
            <w:tcW w:w="7155" w:type="dxa"/>
          </w:tcPr>
          <w:p w:rsidR="00B44C91" w:rsidRDefault="00B44C91" w:rsidP="00B44C91">
            <w:pPr>
              <w:pStyle w:val="p2"/>
              <w:shd w:val="clear" w:color="auto" w:fill="FFFFFF"/>
              <w:spacing w:after="199"/>
              <w:ind w:left="6"/>
              <w:rPr>
                <w:color w:val="000000"/>
                <w:sz w:val="28"/>
                <w:szCs w:val="28"/>
              </w:rPr>
            </w:pPr>
            <w:r>
              <w:rPr>
                <w:color w:val="000000"/>
                <w:sz w:val="28"/>
                <w:szCs w:val="28"/>
              </w:rPr>
              <w:t>Объект налогообложения, кадастровая стоимость которого не превышает 300 миллионов рублей (включительно)</w:t>
            </w:r>
          </w:p>
        </w:tc>
        <w:tc>
          <w:tcPr>
            <w:tcW w:w="1605" w:type="dxa"/>
          </w:tcPr>
          <w:p w:rsidR="00B44C91" w:rsidRDefault="00474EEE" w:rsidP="00955D73">
            <w:pPr>
              <w:pStyle w:val="p2"/>
              <w:shd w:val="clear" w:color="auto" w:fill="FFFFFF"/>
              <w:spacing w:after="199"/>
              <w:ind w:left="6"/>
              <w:jc w:val="center"/>
              <w:rPr>
                <w:color w:val="000000"/>
                <w:sz w:val="28"/>
                <w:szCs w:val="28"/>
              </w:rPr>
            </w:pPr>
            <w:r>
              <w:rPr>
                <w:color w:val="000000"/>
                <w:sz w:val="28"/>
                <w:szCs w:val="28"/>
              </w:rPr>
              <w:t>0,1</w:t>
            </w:r>
          </w:p>
        </w:tc>
      </w:tr>
      <w:tr w:rsidR="00B44C91" w:rsidTr="00B44C91">
        <w:trPr>
          <w:trHeight w:val="180"/>
        </w:trPr>
        <w:tc>
          <w:tcPr>
            <w:tcW w:w="495" w:type="dxa"/>
            <w:tcBorders>
              <w:top w:val="single" w:sz="4" w:space="0" w:color="auto"/>
            </w:tcBorders>
          </w:tcPr>
          <w:p w:rsidR="00B44C91" w:rsidRDefault="00B44C91" w:rsidP="00B44C91">
            <w:pPr>
              <w:pStyle w:val="p2"/>
              <w:shd w:val="clear" w:color="auto" w:fill="FFFFFF"/>
              <w:spacing w:after="199"/>
              <w:ind w:left="6"/>
              <w:rPr>
                <w:color w:val="000000"/>
                <w:sz w:val="28"/>
                <w:szCs w:val="28"/>
              </w:rPr>
            </w:pPr>
            <w:r>
              <w:rPr>
                <w:color w:val="000000"/>
                <w:sz w:val="28"/>
                <w:szCs w:val="28"/>
              </w:rPr>
              <w:t>1.1.</w:t>
            </w:r>
          </w:p>
        </w:tc>
        <w:tc>
          <w:tcPr>
            <w:tcW w:w="7155" w:type="dxa"/>
          </w:tcPr>
          <w:p w:rsidR="00B44C91" w:rsidRDefault="00B44C91" w:rsidP="00B44C91">
            <w:pPr>
              <w:pStyle w:val="p2"/>
              <w:shd w:val="clear" w:color="auto" w:fill="FFFFFF"/>
              <w:spacing w:after="199"/>
              <w:ind w:left="6"/>
              <w:rPr>
                <w:color w:val="000000"/>
                <w:sz w:val="28"/>
                <w:szCs w:val="28"/>
              </w:rPr>
            </w:pPr>
            <w:r>
              <w:rPr>
                <w:color w:val="000000"/>
                <w:sz w:val="28"/>
                <w:szCs w:val="28"/>
              </w:rPr>
              <w:t>Жилой дом (часть жилого дома)</w:t>
            </w:r>
          </w:p>
        </w:tc>
        <w:tc>
          <w:tcPr>
            <w:tcW w:w="1605" w:type="dxa"/>
          </w:tcPr>
          <w:p w:rsidR="00B44C91" w:rsidRDefault="00474EEE" w:rsidP="00955D73">
            <w:pPr>
              <w:pStyle w:val="p2"/>
              <w:shd w:val="clear" w:color="auto" w:fill="FFFFFF"/>
              <w:spacing w:after="199"/>
              <w:ind w:left="6"/>
              <w:jc w:val="center"/>
              <w:rPr>
                <w:color w:val="000000"/>
                <w:sz w:val="28"/>
                <w:szCs w:val="28"/>
              </w:rPr>
            </w:pPr>
            <w:r>
              <w:rPr>
                <w:color w:val="000000"/>
                <w:sz w:val="28"/>
                <w:szCs w:val="28"/>
              </w:rPr>
              <w:t>0,1</w:t>
            </w:r>
          </w:p>
        </w:tc>
      </w:tr>
      <w:tr w:rsidR="00B44C91" w:rsidTr="00B44C91">
        <w:trPr>
          <w:trHeight w:val="142"/>
        </w:trPr>
        <w:tc>
          <w:tcPr>
            <w:tcW w:w="495" w:type="dxa"/>
          </w:tcPr>
          <w:p w:rsidR="00B44C91" w:rsidRDefault="00B44C91" w:rsidP="00B44C91">
            <w:pPr>
              <w:pStyle w:val="p2"/>
              <w:shd w:val="clear" w:color="auto" w:fill="FFFFFF"/>
              <w:spacing w:after="199"/>
              <w:ind w:left="6"/>
              <w:rPr>
                <w:color w:val="000000"/>
                <w:sz w:val="28"/>
                <w:szCs w:val="28"/>
              </w:rPr>
            </w:pPr>
            <w:r>
              <w:rPr>
                <w:color w:val="000000"/>
                <w:sz w:val="28"/>
                <w:szCs w:val="28"/>
              </w:rPr>
              <w:t>1.2.</w:t>
            </w:r>
          </w:p>
        </w:tc>
        <w:tc>
          <w:tcPr>
            <w:tcW w:w="7155" w:type="dxa"/>
          </w:tcPr>
          <w:p w:rsidR="00B44C91" w:rsidRDefault="00B44C91" w:rsidP="00B44C91">
            <w:pPr>
              <w:pStyle w:val="p2"/>
              <w:shd w:val="clear" w:color="auto" w:fill="FFFFFF"/>
              <w:spacing w:after="199"/>
              <w:ind w:left="6"/>
              <w:rPr>
                <w:color w:val="000000"/>
                <w:sz w:val="28"/>
                <w:szCs w:val="28"/>
              </w:rPr>
            </w:pPr>
            <w:r>
              <w:rPr>
                <w:color w:val="000000"/>
                <w:sz w:val="28"/>
                <w:szCs w:val="28"/>
              </w:rPr>
              <w:t>Квартира (часть квартиры)</w:t>
            </w:r>
          </w:p>
        </w:tc>
        <w:tc>
          <w:tcPr>
            <w:tcW w:w="1605" w:type="dxa"/>
          </w:tcPr>
          <w:p w:rsidR="00B44C91" w:rsidRDefault="00474EEE" w:rsidP="00955D73">
            <w:pPr>
              <w:pStyle w:val="p2"/>
              <w:shd w:val="clear" w:color="auto" w:fill="FFFFFF"/>
              <w:spacing w:after="199"/>
              <w:ind w:left="6"/>
              <w:jc w:val="center"/>
              <w:rPr>
                <w:color w:val="000000"/>
                <w:sz w:val="28"/>
                <w:szCs w:val="28"/>
              </w:rPr>
            </w:pPr>
            <w:r>
              <w:rPr>
                <w:color w:val="000000"/>
                <w:sz w:val="28"/>
                <w:szCs w:val="28"/>
              </w:rPr>
              <w:t>0,1</w:t>
            </w:r>
          </w:p>
        </w:tc>
      </w:tr>
      <w:tr w:rsidR="00B44C91" w:rsidTr="00B44C91">
        <w:trPr>
          <w:trHeight w:val="165"/>
        </w:trPr>
        <w:tc>
          <w:tcPr>
            <w:tcW w:w="495" w:type="dxa"/>
          </w:tcPr>
          <w:p w:rsidR="00B44C91" w:rsidRDefault="00B44C91" w:rsidP="00B44C91">
            <w:pPr>
              <w:pStyle w:val="p2"/>
              <w:shd w:val="clear" w:color="auto" w:fill="FFFFFF"/>
              <w:spacing w:after="199"/>
              <w:ind w:left="6"/>
              <w:rPr>
                <w:color w:val="000000"/>
                <w:sz w:val="28"/>
                <w:szCs w:val="28"/>
              </w:rPr>
            </w:pPr>
            <w:r>
              <w:rPr>
                <w:color w:val="000000"/>
                <w:sz w:val="28"/>
                <w:szCs w:val="28"/>
              </w:rPr>
              <w:t>1.3.</w:t>
            </w:r>
          </w:p>
        </w:tc>
        <w:tc>
          <w:tcPr>
            <w:tcW w:w="7155" w:type="dxa"/>
          </w:tcPr>
          <w:p w:rsidR="00B44C91" w:rsidRDefault="00B44C91" w:rsidP="00B44C91">
            <w:pPr>
              <w:pStyle w:val="p2"/>
              <w:shd w:val="clear" w:color="auto" w:fill="FFFFFF"/>
              <w:spacing w:after="199"/>
              <w:ind w:left="6"/>
              <w:rPr>
                <w:color w:val="000000"/>
                <w:sz w:val="28"/>
                <w:szCs w:val="28"/>
              </w:rPr>
            </w:pPr>
            <w:r>
              <w:rPr>
                <w:color w:val="000000"/>
                <w:sz w:val="28"/>
                <w:szCs w:val="28"/>
              </w:rPr>
              <w:t>комната</w:t>
            </w:r>
          </w:p>
        </w:tc>
        <w:tc>
          <w:tcPr>
            <w:tcW w:w="1605" w:type="dxa"/>
          </w:tcPr>
          <w:p w:rsidR="00B44C91" w:rsidRDefault="00474EEE" w:rsidP="00955D73">
            <w:pPr>
              <w:pStyle w:val="p2"/>
              <w:shd w:val="clear" w:color="auto" w:fill="FFFFFF"/>
              <w:spacing w:after="199"/>
              <w:ind w:left="6"/>
              <w:jc w:val="center"/>
              <w:rPr>
                <w:color w:val="000000"/>
                <w:sz w:val="28"/>
                <w:szCs w:val="28"/>
              </w:rPr>
            </w:pPr>
            <w:r>
              <w:rPr>
                <w:color w:val="000000"/>
                <w:sz w:val="28"/>
                <w:szCs w:val="28"/>
              </w:rPr>
              <w:t>0,1</w:t>
            </w:r>
          </w:p>
        </w:tc>
      </w:tr>
      <w:tr w:rsidR="00B44C91" w:rsidTr="00B44C91">
        <w:trPr>
          <w:trHeight w:val="150"/>
        </w:trPr>
        <w:tc>
          <w:tcPr>
            <w:tcW w:w="495" w:type="dxa"/>
          </w:tcPr>
          <w:p w:rsidR="00B44C91" w:rsidRDefault="00B44C91" w:rsidP="00B44C91">
            <w:pPr>
              <w:pStyle w:val="p2"/>
              <w:shd w:val="clear" w:color="auto" w:fill="FFFFFF"/>
              <w:spacing w:after="199"/>
              <w:ind w:left="6"/>
              <w:rPr>
                <w:color w:val="000000"/>
                <w:sz w:val="28"/>
                <w:szCs w:val="28"/>
              </w:rPr>
            </w:pPr>
            <w:r>
              <w:rPr>
                <w:color w:val="000000"/>
                <w:sz w:val="28"/>
                <w:szCs w:val="28"/>
              </w:rPr>
              <w:t>1.4.</w:t>
            </w:r>
          </w:p>
        </w:tc>
        <w:tc>
          <w:tcPr>
            <w:tcW w:w="7155" w:type="dxa"/>
          </w:tcPr>
          <w:p w:rsidR="00B44C91" w:rsidRDefault="00B44C91" w:rsidP="00B44C91">
            <w:pPr>
              <w:pStyle w:val="p2"/>
              <w:shd w:val="clear" w:color="auto" w:fill="FFFFFF"/>
              <w:spacing w:after="199"/>
              <w:ind w:left="6"/>
              <w:rPr>
                <w:color w:val="000000"/>
                <w:sz w:val="28"/>
                <w:szCs w:val="28"/>
              </w:rPr>
            </w:pPr>
            <w:r>
              <w:rPr>
                <w:color w:val="000000"/>
                <w:sz w:val="28"/>
                <w:szCs w:val="28"/>
              </w:rPr>
              <w:t>Объект незавершенного строительства в случае, если проектируемым назначением такого объекта является жилой дом</w:t>
            </w:r>
          </w:p>
        </w:tc>
        <w:tc>
          <w:tcPr>
            <w:tcW w:w="1605" w:type="dxa"/>
          </w:tcPr>
          <w:p w:rsidR="00B44C91" w:rsidRDefault="00474EEE" w:rsidP="00955D73">
            <w:pPr>
              <w:pStyle w:val="p2"/>
              <w:shd w:val="clear" w:color="auto" w:fill="FFFFFF"/>
              <w:spacing w:after="199"/>
              <w:ind w:left="6"/>
              <w:jc w:val="center"/>
              <w:rPr>
                <w:color w:val="000000"/>
                <w:sz w:val="28"/>
                <w:szCs w:val="28"/>
              </w:rPr>
            </w:pPr>
            <w:r>
              <w:rPr>
                <w:color w:val="000000"/>
                <w:sz w:val="28"/>
                <w:szCs w:val="28"/>
              </w:rPr>
              <w:t>0,1</w:t>
            </w:r>
          </w:p>
        </w:tc>
      </w:tr>
      <w:tr w:rsidR="00B44C91" w:rsidTr="00B44C91">
        <w:trPr>
          <w:trHeight w:val="157"/>
        </w:trPr>
        <w:tc>
          <w:tcPr>
            <w:tcW w:w="495" w:type="dxa"/>
          </w:tcPr>
          <w:p w:rsidR="00B44C91" w:rsidRDefault="00474EEE" w:rsidP="00B44C91">
            <w:pPr>
              <w:pStyle w:val="p2"/>
              <w:shd w:val="clear" w:color="auto" w:fill="FFFFFF"/>
              <w:spacing w:after="199"/>
              <w:ind w:left="6"/>
              <w:rPr>
                <w:color w:val="000000"/>
                <w:sz w:val="28"/>
                <w:szCs w:val="28"/>
              </w:rPr>
            </w:pPr>
            <w:r>
              <w:rPr>
                <w:color w:val="000000"/>
                <w:sz w:val="28"/>
                <w:szCs w:val="28"/>
              </w:rPr>
              <w:t xml:space="preserve">1.5. </w:t>
            </w:r>
          </w:p>
        </w:tc>
        <w:tc>
          <w:tcPr>
            <w:tcW w:w="7155" w:type="dxa"/>
          </w:tcPr>
          <w:p w:rsidR="00B44C91" w:rsidRDefault="00474EEE" w:rsidP="00D92A84">
            <w:pPr>
              <w:pStyle w:val="p2"/>
              <w:shd w:val="clear" w:color="auto" w:fill="FFFFFF"/>
              <w:spacing w:after="199"/>
              <w:ind w:left="6"/>
              <w:rPr>
                <w:color w:val="000000"/>
                <w:sz w:val="28"/>
                <w:szCs w:val="28"/>
              </w:rPr>
            </w:pPr>
            <w:r>
              <w:rPr>
                <w:color w:val="000000"/>
                <w:sz w:val="28"/>
                <w:szCs w:val="28"/>
              </w:rPr>
              <w:t>Единый недвижимый комплекс, в сос</w:t>
            </w:r>
            <w:r w:rsidR="00D92A84">
              <w:rPr>
                <w:color w:val="000000"/>
                <w:sz w:val="28"/>
                <w:szCs w:val="28"/>
              </w:rPr>
              <w:t>тав которого входит хотя бы один</w:t>
            </w:r>
            <w:r>
              <w:rPr>
                <w:color w:val="000000"/>
                <w:sz w:val="28"/>
                <w:szCs w:val="28"/>
              </w:rPr>
              <w:t xml:space="preserve"> жилой дом</w:t>
            </w:r>
          </w:p>
        </w:tc>
        <w:tc>
          <w:tcPr>
            <w:tcW w:w="1605" w:type="dxa"/>
          </w:tcPr>
          <w:p w:rsidR="00B44C91" w:rsidRDefault="00474EEE" w:rsidP="00955D73">
            <w:pPr>
              <w:pStyle w:val="p2"/>
              <w:shd w:val="clear" w:color="auto" w:fill="FFFFFF"/>
              <w:spacing w:after="199"/>
              <w:ind w:left="6"/>
              <w:jc w:val="center"/>
              <w:rPr>
                <w:color w:val="000000"/>
                <w:sz w:val="28"/>
                <w:szCs w:val="28"/>
              </w:rPr>
            </w:pPr>
            <w:r>
              <w:rPr>
                <w:color w:val="000000"/>
                <w:sz w:val="28"/>
                <w:szCs w:val="28"/>
              </w:rPr>
              <w:t>0,1</w:t>
            </w:r>
          </w:p>
        </w:tc>
      </w:tr>
      <w:tr w:rsidR="00B44C91" w:rsidTr="00B44C91">
        <w:trPr>
          <w:trHeight w:val="127"/>
        </w:trPr>
        <w:tc>
          <w:tcPr>
            <w:tcW w:w="495" w:type="dxa"/>
          </w:tcPr>
          <w:p w:rsidR="00B44C91" w:rsidRDefault="00474EEE" w:rsidP="00B44C91">
            <w:pPr>
              <w:pStyle w:val="p2"/>
              <w:shd w:val="clear" w:color="auto" w:fill="FFFFFF"/>
              <w:spacing w:after="199"/>
              <w:ind w:left="6"/>
              <w:rPr>
                <w:color w:val="000000"/>
                <w:sz w:val="28"/>
                <w:szCs w:val="28"/>
              </w:rPr>
            </w:pPr>
            <w:r>
              <w:rPr>
                <w:color w:val="000000"/>
                <w:sz w:val="28"/>
                <w:szCs w:val="28"/>
              </w:rPr>
              <w:t>1.6.</w:t>
            </w:r>
          </w:p>
        </w:tc>
        <w:tc>
          <w:tcPr>
            <w:tcW w:w="7155" w:type="dxa"/>
          </w:tcPr>
          <w:p w:rsidR="00B44C91" w:rsidRDefault="00474EEE" w:rsidP="00B44C91">
            <w:pPr>
              <w:pStyle w:val="p2"/>
              <w:shd w:val="clear" w:color="auto" w:fill="FFFFFF"/>
              <w:spacing w:after="199"/>
              <w:ind w:left="6"/>
              <w:rPr>
                <w:color w:val="000000"/>
                <w:sz w:val="28"/>
                <w:szCs w:val="28"/>
              </w:rPr>
            </w:pPr>
            <w:proofErr w:type="gramStart"/>
            <w:r>
              <w:rPr>
                <w:color w:val="000000"/>
                <w:sz w:val="28"/>
                <w:szCs w:val="28"/>
              </w:rPr>
              <w:t xml:space="preserve">Гараж, </w:t>
            </w:r>
            <w:proofErr w:type="spellStart"/>
            <w:r>
              <w:rPr>
                <w:color w:val="000000"/>
                <w:sz w:val="28"/>
                <w:szCs w:val="28"/>
              </w:rPr>
              <w:t>машино-место</w:t>
            </w:r>
            <w:proofErr w:type="spellEnd"/>
            <w:r w:rsidR="00E46BEE">
              <w:rPr>
                <w:color w:val="000000"/>
                <w:sz w:val="28"/>
                <w:szCs w:val="28"/>
              </w:rPr>
              <w:t xml:space="preserve">, </w:t>
            </w:r>
            <w:r w:rsidR="00D92A84" w:rsidRPr="00E46BEE">
              <w:rPr>
                <w:color w:val="000000"/>
                <w:sz w:val="28"/>
                <w:szCs w:val="28"/>
                <w:shd w:val="clear" w:color="auto" w:fill="FFFFFF"/>
              </w:rPr>
              <w:t xml:space="preserve">в том числе расположенных в </w:t>
            </w:r>
            <w:r w:rsidR="00D92A84" w:rsidRPr="00E46BEE">
              <w:rPr>
                <w:color w:val="000000"/>
                <w:sz w:val="28"/>
                <w:szCs w:val="28"/>
                <w:shd w:val="clear" w:color="auto" w:fill="FFFFFF"/>
              </w:rPr>
              <w:lastRenderedPageBreak/>
              <w:t>объектах налогообложения, указанных в подпункте 2 настоящего пункта;</w:t>
            </w:r>
            <w:proofErr w:type="gramEnd"/>
          </w:p>
        </w:tc>
        <w:tc>
          <w:tcPr>
            <w:tcW w:w="1605" w:type="dxa"/>
          </w:tcPr>
          <w:p w:rsidR="00B44C91" w:rsidRDefault="00474EEE" w:rsidP="00955D73">
            <w:pPr>
              <w:pStyle w:val="p2"/>
              <w:shd w:val="clear" w:color="auto" w:fill="FFFFFF"/>
              <w:spacing w:after="199"/>
              <w:ind w:left="6"/>
              <w:jc w:val="center"/>
              <w:rPr>
                <w:color w:val="000000"/>
                <w:sz w:val="28"/>
                <w:szCs w:val="28"/>
              </w:rPr>
            </w:pPr>
            <w:r>
              <w:rPr>
                <w:color w:val="000000"/>
                <w:sz w:val="28"/>
                <w:szCs w:val="28"/>
              </w:rPr>
              <w:lastRenderedPageBreak/>
              <w:t>0,1</w:t>
            </w:r>
          </w:p>
        </w:tc>
      </w:tr>
      <w:tr w:rsidR="00B44C91" w:rsidTr="00B44C91">
        <w:trPr>
          <w:trHeight w:val="127"/>
        </w:trPr>
        <w:tc>
          <w:tcPr>
            <w:tcW w:w="495" w:type="dxa"/>
          </w:tcPr>
          <w:p w:rsidR="00B44C91" w:rsidRDefault="00474EEE" w:rsidP="00B44C91">
            <w:pPr>
              <w:pStyle w:val="p2"/>
              <w:shd w:val="clear" w:color="auto" w:fill="FFFFFF"/>
              <w:spacing w:after="199"/>
              <w:ind w:left="6"/>
              <w:rPr>
                <w:color w:val="000000"/>
                <w:sz w:val="28"/>
                <w:szCs w:val="28"/>
              </w:rPr>
            </w:pPr>
            <w:r>
              <w:rPr>
                <w:color w:val="000000"/>
                <w:sz w:val="28"/>
                <w:szCs w:val="28"/>
              </w:rPr>
              <w:lastRenderedPageBreak/>
              <w:t>1.7.</w:t>
            </w:r>
          </w:p>
        </w:tc>
        <w:tc>
          <w:tcPr>
            <w:tcW w:w="7155" w:type="dxa"/>
          </w:tcPr>
          <w:p w:rsidR="00B44C91" w:rsidRDefault="00474EEE" w:rsidP="00B44C91">
            <w:pPr>
              <w:pStyle w:val="p2"/>
              <w:shd w:val="clear" w:color="auto" w:fill="FFFFFF"/>
              <w:spacing w:after="199"/>
              <w:ind w:left="6"/>
              <w:rPr>
                <w:color w:val="000000"/>
                <w:sz w:val="28"/>
                <w:szCs w:val="28"/>
              </w:rPr>
            </w:pPr>
            <w:r>
              <w:rPr>
                <w:color w:val="000000"/>
                <w:sz w:val="28"/>
                <w:szCs w:val="28"/>
              </w:rPr>
              <w:t>Хозяйственное строение или сооружение, площадь которого не превышает 50 квадратных метров и которое расположено на земельном участке, предоставленном для ведения личного подсобного, дачного хозяйства, огородничества, садоводства или индивидуального жилищного строительства</w:t>
            </w:r>
          </w:p>
        </w:tc>
        <w:tc>
          <w:tcPr>
            <w:tcW w:w="1605" w:type="dxa"/>
          </w:tcPr>
          <w:p w:rsidR="00B44C91" w:rsidRDefault="00955D73" w:rsidP="00955D73">
            <w:pPr>
              <w:pStyle w:val="p2"/>
              <w:shd w:val="clear" w:color="auto" w:fill="FFFFFF"/>
              <w:spacing w:after="199"/>
              <w:ind w:left="6"/>
              <w:jc w:val="center"/>
              <w:rPr>
                <w:color w:val="000000"/>
                <w:sz w:val="28"/>
                <w:szCs w:val="28"/>
              </w:rPr>
            </w:pPr>
            <w:r>
              <w:rPr>
                <w:color w:val="000000"/>
                <w:sz w:val="28"/>
                <w:szCs w:val="28"/>
              </w:rPr>
              <w:t>0,1</w:t>
            </w:r>
          </w:p>
        </w:tc>
      </w:tr>
      <w:tr w:rsidR="00B44C91" w:rsidTr="00B44C91">
        <w:trPr>
          <w:trHeight w:val="180"/>
        </w:trPr>
        <w:tc>
          <w:tcPr>
            <w:tcW w:w="495" w:type="dxa"/>
          </w:tcPr>
          <w:p w:rsidR="00B44C91" w:rsidRDefault="00474EEE" w:rsidP="00B44C91">
            <w:pPr>
              <w:pStyle w:val="p2"/>
              <w:shd w:val="clear" w:color="auto" w:fill="FFFFFF"/>
              <w:spacing w:after="199"/>
              <w:ind w:left="6"/>
              <w:rPr>
                <w:color w:val="000000"/>
                <w:sz w:val="28"/>
                <w:szCs w:val="28"/>
              </w:rPr>
            </w:pPr>
            <w:r>
              <w:rPr>
                <w:color w:val="000000"/>
                <w:sz w:val="28"/>
                <w:szCs w:val="28"/>
              </w:rPr>
              <w:t>2.</w:t>
            </w:r>
          </w:p>
        </w:tc>
        <w:tc>
          <w:tcPr>
            <w:tcW w:w="7155" w:type="dxa"/>
          </w:tcPr>
          <w:p w:rsidR="00B44C91" w:rsidRPr="00E46BEE" w:rsidRDefault="00E46BEE" w:rsidP="00E46BEE">
            <w:pPr>
              <w:pStyle w:val="p2"/>
              <w:shd w:val="clear" w:color="auto" w:fill="FFFFFF"/>
              <w:spacing w:after="199"/>
              <w:ind w:left="6"/>
              <w:rPr>
                <w:color w:val="000000"/>
                <w:sz w:val="28"/>
                <w:szCs w:val="28"/>
              </w:rPr>
            </w:pPr>
            <w:r>
              <w:rPr>
                <w:color w:val="000000"/>
                <w:sz w:val="28"/>
                <w:szCs w:val="28"/>
                <w:shd w:val="clear" w:color="auto" w:fill="FFFFFF"/>
              </w:rPr>
              <w:t>О</w:t>
            </w:r>
            <w:r w:rsidRPr="00E46BEE">
              <w:rPr>
                <w:color w:val="000000"/>
                <w:sz w:val="28"/>
                <w:szCs w:val="28"/>
                <w:shd w:val="clear" w:color="auto" w:fill="FFFFFF"/>
              </w:rPr>
              <w:t>бъекты налогообложения, включенных в перечень, определяемый в соответствии с пунктом 7</w:t>
            </w:r>
            <w:r w:rsidRPr="00E46BEE">
              <w:rPr>
                <w:rStyle w:val="apple-converted-space"/>
                <w:color w:val="000000"/>
                <w:sz w:val="28"/>
                <w:szCs w:val="28"/>
                <w:shd w:val="clear" w:color="auto" w:fill="FFFFFF"/>
              </w:rPr>
              <w:t> </w:t>
            </w:r>
            <w:hyperlink r:id="rId4" w:tooltip="Статья 378.2. Особенности определения налоговой базы, исчисления и уплаты налога в отношении отдельных объектов недвижимого имущества" w:history="1">
              <w:r w:rsidRPr="00E46BEE">
                <w:rPr>
                  <w:rStyle w:val="a3"/>
                  <w:color w:val="5618A5"/>
                  <w:sz w:val="28"/>
                  <w:szCs w:val="28"/>
                  <w:shd w:val="clear" w:color="auto" w:fill="FFFFFF"/>
                </w:rPr>
                <w:t>статьи 378.2</w:t>
              </w:r>
            </w:hyperlink>
            <w:r w:rsidRPr="00E46BEE">
              <w:rPr>
                <w:rStyle w:val="apple-converted-space"/>
                <w:color w:val="000000"/>
                <w:sz w:val="28"/>
                <w:szCs w:val="28"/>
                <w:shd w:val="clear" w:color="auto" w:fill="FFFFFF"/>
              </w:rPr>
              <w:t> </w:t>
            </w:r>
            <w:r>
              <w:rPr>
                <w:color w:val="000000"/>
                <w:sz w:val="28"/>
                <w:szCs w:val="28"/>
                <w:shd w:val="clear" w:color="auto" w:fill="FFFFFF"/>
              </w:rPr>
              <w:t xml:space="preserve">Налогового </w:t>
            </w:r>
            <w:r w:rsidRPr="00E46BEE">
              <w:rPr>
                <w:color w:val="000000"/>
                <w:sz w:val="28"/>
                <w:szCs w:val="28"/>
                <w:shd w:val="clear" w:color="auto" w:fill="FFFFFF"/>
              </w:rPr>
              <w:t xml:space="preserve"> Кодекса, в отношении объектов налогообложения, предусмотренных абзацем вторым пункта 10</w:t>
            </w:r>
            <w:r w:rsidRPr="00E46BEE">
              <w:rPr>
                <w:rStyle w:val="apple-converted-space"/>
                <w:color w:val="000000"/>
                <w:sz w:val="28"/>
                <w:szCs w:val="28"/>
                <w:shd w:val="clear" w:color="auto" w:fill="FFFFFF"/>
              </w:rPr>
              <w:t> </w:t>
            </w:r>
            <w:hyperlink r:id="rId5" w:tooltip="Статья 378.2. Особенности определения налоговой базы, исчисления и уплаты налога в отношении отдельных объектов недвижимого имущества" w:history="1">
              <w:r w:rsidRPr="00E46BEE">
                <w:rPr>
                  <w:rStyle w:val="a3"/>
                  <w:color w:val="5618A5"/>
                  <w:sz w:val="28"/>
                  <w:szCs w:val="28"/>
                  <w:shd w:val="clear" w:color="auto" w:fill="FFFFFF"/>
                </w:rPr>
                <w:t>статьи 378.2</w:t>
              </w:r>
            </w:hyperlink>
            <w:r w:rsidRPr="00E46BEE">
              <w:rPr>
                <w:rStyle w:val="apple-converted-space"/>
                <w:color w:val="000000"/>
                <w:sz w:val="28"/>
                <w:szCs w:val="28"/>
                <w:shd w:val="clear" w:color="auto" w:fill="FFFFFF"/>
              </w:rPr>
              <w:t> </w:t>
            </w:r>
            <w:r>
              <w:rPr>
                <w:color w:val="000000"/>
                <w:sz w:val="28"/>
                <w:szCs w:val="28"/>
                <w:shd w:val="clear" w:color="auto" w:fill="FFFFFF"/>
              </w:rPr>
              <w:t>Налогового</w:t>
            </w:r>
            <w:r w:rsidRPr="00E46BEE">
              <w:rPr>
                <w:color w:val="000000"/>
                <w:sz w:val="28"/>
                <w:szCs w:val="28"/>
                <w:shd w:val="clear" w:color="auto" w:fill="FFFFFF"/>
              </w:rPr>
              <w:t xml:space="preserve"> Кодекса, а также в отношении объектов налогообложения, кадастровая стоимость каждого из которых превышает 300 миллионов рублей;</w:t>
            </w:r>
          </w:p>
        </w:tc>
        <w:tc>
          <w:tcPr>
            <w:tcW w:w="1605" w:type="dxa"/>
          </w:tcPr>
          <w:p w:rsidR="00B44C91" w:rsidRDefault="00474EEE" w:rsidP="00474EEE">
            <w:pPr>
              <w:pStyle w:val="p2"/>
              <w:shd w:val="clear" w:color="auto" w:fill="FFFFFF"/>
              <w:spacing w:after="199"/>
              <w:ind w:left="6"/>
              <w:jc w:val="center"/>
              <w:rPr>
                <w:color w:val="000000"/>
                <w:sz w:val="28"/>
                <w:szCs w:val="28"/>
              </w:rPr>
            </w:pPr>
            <w:r>
              <w:rPr>
                <w:color w:val="000000"/>
                <w:sz w:val="28"/>
                <w:szCs w:val="28"/>
              </w:rPr>
              <w:t>2</w:t>
            </w:r>
          </w:p>
        </w:tc>
      </w:tr>
      <w:tr w:rsidR="00B44C91" w:rsidTr="00B44C91">
        <w:trPr>
          <w:trHeight w:val="127"/>
        </w:trPr>
        <w:tc>
          <w:tcPr>
            <w:tcW w:w="495" w:type="dxa"/>
          </w:tcPr>
          <w:p w:rsidR="00B44C91" w:rsidRDefault="00474EEE" w:rsidP="00B44C91">
            <w:pPr>
              <w:pStyle w:val="p2"/>
              <w:shd w:val="clear" w:color="auto" w:fill="FFFFFF"/>
              <w:spacing w:after="199"/>
              <w:ind w:left="6"/>
              <w:rPr>
                <w:color w:val="000000"/>
                <w:sz w:val="28"/>
                <w:szCs w:val="28"/>
              </w:rPr>
            </w:pPr>
            <w:r>
              <w:rPr>
                <w:color w:val="000000"/>
                <w:sz w:val="28"/>
                <w:szCs w:val="28"/>
              </w:rPr>
              <w:t>3.</w:t>
            </w:r>
          </w:p>
        </w:tc>
        <w:tc>
          <w:tcPr>
            <w:tcW w:w="7155" w:type="dxa"/>
          </w:tcPr>
          <w:p w:rsidR="00B44C91" w:rsidRDefault="00474EEE" w:rsidP="00B44C91">
            <w:pPr>
              <w:pStyle w:val="p2"/>
              <w:shd w:val="clear" w:color="auto" w:fill="FFFFFF"/>
              <w:spacing w:after="199"/>
              <w:ind w:left="6"/>
              <w:rPr>
                <w:color w:val="000000"/>
                <w:sz w:val="28"/>
                <w:szCs w:val="28"/>
              </w:rPr>
            </w:pPr>
            <w:r>
              <w:rPr>
                <w:color w:val="000000"/>
                <w:sz w:val="28"/>
                <w:szCs w:val="28"/>
              </w:rPr>
              <w:t>Прочие объекты налогообложения</w:t>
            </w:r>
          </w:p>
        </w:tc>
        <w:tc>
          <w:tcPr>
            <w:tcW w:w="1605" w:type="dxa"/>
          </w:tcPr>
          <w:p w:rsidR="00B44C91" w:rsidRDefault="00474EEE" w:rsidP="00474EEE">
            <w:pPr>
              <w:pStyle w:val="p2"/>
              <w:shd w:val="clear" w:color="auto" w:fill="FFFFFF"/>
              <w:spacing w:after="199"/>
              <w:ind w:left="6"/>
              <w:jc w:val="center"/>
              <w:rPr>
                <w:color w:val="000000"/>
                <w:sz w:val="28"/>
                <w:szCs w:val="28"/>
              </w:rPr>
            </w:pPr>
            <w:r>
              <w:rPr>
                <w:color w:val="000000"/>
                <w:sz w:val="28"/>
                <w:szCs w:val="28"/>
              </w:rPr>
              <w:t>0,5</w:t>
            </w:r>
          </w:p>
        </w:tc>
      </w:tr>
    </w:tbl>
    <w:p w:rsidR="00BE1B63" w:rsidRDefault="00BE1B63" w:rsidP="00BE1B63">
      <w:pPr>
        <w:pStyle w:val="p2"/>
        <w:shd w:val="clear" w:color="auto" w:fill="FFFFFF"/>
        <w:spacing w:before="0" w:beforeAutospacing="0" w:after="0" w:afterAutospacing="0"/>
        <w:rPr>
          <w:color w:val="000000"/>
          <w:sz w:val="28"/>
          <w:szCs w:val="28"/>
        </w:rPr>
      </w:pPr>
    </w:p>
    <w:p w:rsidR="00BE1B63" w:rsidRDefault="00296649" w:rsidP="00BE1B63">
      <w:pPr>
        <w:pStyle w:val="p2"/>
        <w:shd w:val="clear" w:color="auto" w:fill="FFFFFF"/>
        <w:spacing w:before="0" w:beforeAutospacing="0" w:after="0" w:afterAutospacing="0"/>
        <w:rPr>
          <w:color w:val="000000"/>
          <w:sz w:val="28"/>
          <w:szCs w:val="28"/>
        </w:rPr>
      </w:pPr>
      <w:r>
        <w:rPr>
          <w:color w:val="000000"/>
          <w:sz w:val="28"/>
          <w:szCs w:val="28"/>
        </w:rPr>
        <w:t xml:space="preserve">3. </w:t>
      </w:r>
      <w:r w:rsidR="00BE1B63">
        <w:rPr>
          <w:color w:val="000000"/>
          <w:sz w:val="28"/>
          <w:szCs w:val="28"/>
        </w:rPr>
        <w:t>Налоговая льгота предоставляется в размере подлежащей уплате налогоплательщиком суммы налога в отношении объекта налогообложения, находящегося в собственности налогоплательщика и не используемого налогоплательщиком в предпринимательской деятельности.</w:t>
      </w:r>
    </w:p>
    <w:p w:rsidR="00BE1B63" w:rsidRDefault="00BE1B63" w:rsidP="00BE1B63">
      <w:pPr>
        <w:pStyle w:val="p2"/>
        <w:shd w:val="clear" w:color="auto" w:fill="FFFFFF"/>
        <w:spacing w:before="0" w:beforeAutospacing="0" w:after="0" w:afterAutospacing="0"/>
        <w:rPr>
          <w:color w:val="000000"/>
          <w:sz w:val="28"/>
          <w:szCs w:val="28"/>
        </w:rPr>
      </w:pPr>
      <w:r>
        <w:rPr>
          <w:color w:val="000000"/>
          <w:sz w:val="28"/>
          <w:szCs w:val="28"/>
        </w:rPr>
        <w:t xml:space="preserve">   При определении подлежащей уплате налогоплательщиком суммы налога налоговая льгота предоставляется </w:t>
      </w:r>
      <w:proofErr w:type="gramStart"/>
      <w:r>
        <w:rPr>
          <w:color w:val="000000"/>
          <w:sz w:val="28"/>
          <w:szCs w:val="28"/>
        </w:rPr>
        <w:t>в отношении одного объекта налогообложения каждого вида по выбору налогоплательщика вне зависимости от количества оснований для применения</w:t>
      </w:r>
      <w:proofErr w:type="gramEnd"/>
      <w:r>
        <w:rPr>
          <w:color w:val="000000"/>
          <w:sz w:val="28"/>
          <w:szCs w:val="28"/>
        </w:rPr>
        <w:t xml:space="preserve"> налоговых льгот.  </w:t>
      </w:r>
    </w:p>
    <w:p w:rsidR="00BE1B63" w:rsidRDefault="00BE1B63" w:rsidP="00BE1B63">
      <w:pPr>
        <w:pStyle w:val="p2"/>
        <w:shd w:val="clear" w:color="auto" w:fill="FFFFFF"/>
        <w:spacing w:before="0" w:beforeAutospacing="0" w:after="0" w:afterAutospacing="0"/>
        <w:rPr>
          <w:color w:val="000000"/>
          <w:sz w:val="28"/>
          <w:szCs w:val="28"/>
        </w:rPr>
      </w:pPr>
      <w:r>
        <w:rPr>
          <w:color w:val="000000"/>
          <w:sz w:val="28"/>
          <w:szCs w:val="28"/>
        </w:rPr>
        <w:t xml:space="preserve">     Налоговая льгота предоставляется в отношении следующих видов объектов налогообложения: </w:t>
      </w:r>
    </w:p>
    <w:p w:rsidR="00BE1B63" w:rsidRDefault="00BE1B63" w:rsidP="00BE1B63">
      <w:pPr>
        <w:pStyle w:val="p2"/>
        <w:shd w:val="clear" w:color="auto" w:fill="FFFFFF"/>
        <w:spacing w:before="0" w:beforeAutospacing="0" w:after="0" w:afterAutospacing="0"/>
        <w:rPr>
          <w:color w:val="000000"/>
          <w:sz w:val="28"/>
          <w:szCs w:val="28"/>
        </w:rPr>
      </w:pPr>
      <w:r>
        <w:rPr>
          <w:color w:val="000000"/>
          <w:sz w:val="28"/>
          <w:szCs w:val="28"/>
        </w:rPr>
        <w:t>1.Квартира, часть квартиры или комната;</w:t>
      </w:r>
    </w:p>
    <w:p w:rsidR="00BE1B63" w:rsidRDefault="00BE1B63" w:rsidP="00BE1B63">
      <w:pPr>
        <w:pStyle w:val="p2"/>
        <w:shd w:val="clear" w:color="auto" w:fill="FFFFFF"/>
        <w:spacing w:before="0" w:beforeAutospacing="0" w:after="0" w:afterAutospacing="0"/>
        <w:rPr>
          <w:color w:val="000000"/>
          <w:sz w:val="28"/>
          <w:szCs w:val="28"/>
        </w:rPr>
      </w:pPr>
      <w:r>
        <w:rPr>
          <w:color w:val="000000"/>
          <w:sz w:val="28"/>
          <w:szCs w:val="28"/>
        </w:rPr>
        <w:t>2.Жилой дом или часть жилого дома;</w:t>
      </w:r>
    </w:p>
    <w:p w:rsidR="00BE1B63" w:rsidRDefault="00BE1B63" w:rsidP="00BE1B63">
      <w:pPr>
        <w:pStyle w:val="p2"/>
        <w:shd w:val="clear" w:color="auto" w:fill="FFFFFF"/>
        <w:spacing w:before="0" w:beforeAutospacing="0" w:after="0" w:afterAutospacing="0"/>
        <w:rPr>
          <w:color w:val="000000"/>
          <w:sz w:val="28"/>
          <w:szCs w:val="28"/>
        </w:rPr>
      </w:pPr>
      <w:r>
        <w:rPr>
          <w:color w:val="000000"/>
          <w:sz w:val="28"/>
          <w:szCs w:val="28"/>
        </w:rPr>
        <w:t xml:space="preserve">3.Гараж или </w:t>
      </w:r>
      <w:proofErr w:type="spellStart"/>
      <w:r>
        <w:rPr>
          <w:color w:val="000000"/>
          <w:sz w:val="28"/>
          <w:szCs w:val="28"/>
        </w:rPr>
        <w:t>машино-место</w:t>
      </w:r>
      <w:proofErr w:type="spellEnd"/>
      <w:r>
        <w:rPr>
          <w:color w:val="000000"/>
          <w:sz w:val="28"/>
          <w:szCs w:val="28"/>
        </w:rPr>
        <w:t>.</w:t>
      </w:r>
    </w:p>
    <w:p w:rsidR="00B44C91" w:rsidRDefault="00BE1B63" w:rsidP="00B44C91">
      <w:pPr>
        <w:pStyle w:val="p2"/>
        <w:shd w:val="clear" w:color="auto" w:fill="FFFFFF"/>
        <w:spacing w:after="199" w:afterAutospacing="0"/>
        <w:rPr>
          <w:color w:val="000000"/>
          <w:sz w:val="28"/>
          <w:szCs w:val="28"/>
        </w:rPr>
      </w:pPr>
      <w:r>
        <w:rPr>
          <w:color w:val="000000"/>
          <w:sz w:val="28"/>
          <w:szCs w:val="28"/>
        </w:rPr>
        <w:t xml:space="preserve"> 4.</w:t>
      </w:r>
      <w:r w:rsidR="001551E5">
        <w:rPr>
          <w:color w:val="000000"/>
          <w:sz w:val="28"/>
          <w:szCs w:val="28"/>
        </w:rPr>
        <w:t xml:space="preserve">Решение вступает в силу по истечении одного месяца со дня официального опубликования в печатном издании «Информационный вестник», но не ранее 1 –го января 2019 года. В отношении налогового периода по налогу на имущество физических лиц истекающих  до 01 января 2019 года применяется Решение </w:t>
      </w:r>
      <w:r w:rsidR="0059097B">
        <w:rPr>
          <w:color w:val="000000"/>
          <w:sz w:val="28"/>
          <w:szCs w:val="28"/>
        </w:rPr>
        <w:t>№ 30-117 от 20.11.2014(в редакции Решение № 18-85 от 17.10.2018)</w:t>
      </w:r>
    </w:p>
    <w:p w:rsidR="0059097B" w:rsidRDefault="0059097B" w:rsidP="00B44C91">
      <w:pPr>
        <w:pStyle w:val="p2"/>
        <w:shd w:val="clear" w:color="auto" w:fill="FFFFFF"/>
        <w:spacing w:after="199" w:afterAutospacing="0"/>
        <w:rPr>
          <w:color w:val="000000"/>
          <w:sz w:val="28"/>
          <w:szCs w:val="28"/>
        </w:rPr>
      </w:pPr>
    </w:p>
    <w:p w:rsidR="0059097B" w:rsidRDefault="0059097B" w:rsidP="00B44C91">
      <w:pPr>
        <w:pStyle w:val="p2"/>
        <w:shd w:val="clear" w:color="auto" w:fill="FFFFFF"/>
        <w:spacing w:after="199" w:afterAutospacing="0"/>
        <w:rPr>
          <w:color w:val="000000"/>
          <w:sz w:val="28"/>
          <w:szCs w:val="28"/>
        </w:rPr>
      </w:pPr>
      <w:r>
        <w:rPr>
          <w:color w:val="000000"/>
          <w:sz w:val="28"/>
          <w:szCs w:val="28"/>
        </w:rPr>
        <w:t>Глава    сельсовета                                              Председатель Совета депутатов</w:t>
      </w:r>
    </w:p>
    <w:p w:rsidR="0059097B" w:rsidRDefault="0059097B" w:rsidP="00B44C91">
      <w:pPr>
        <w:pStyle w:val="p2"/>
        <w:shd w:val="clear" w:color="auto" w:fill="FFFFFF"/>
        <w:spacing w:after="199" w:afterAutospacing="0"/>
        <w:rPr>
          <w:color w:val="000000"/>
          <w:sz w:val="28"/>
          <w:szCs w:val="28"/>
        </w:rPr>
      </w:pPr>
      <w:r>
        <w:rPr>
          <w:color w:val="000000"/>
          <w:sz w:val="28"/>
          <w:szCs w:val="28"/>
        </w:rPr>
        <w:t xml:space="preserve">                      И.А.Батуро                                                            Т.П.Юшкевич</w:t>
      </w:r>
    </w:p>
    <w:sectPr w:rsidR="0059097B" w:rsidSect="00097F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44C91"/>
    <w:rsid w:val="00097F55"/>
    <w:rsid w:val="00130EEB"/>
    <w:rsid w:val="001310B9"/>
    <w:rsid w:val="001551E5"/>
    <w:rsid w:val="001C5161"/>
    <w:rsid w:val="001C7EE6"/>
    <w:rsid w:val="00296649"/>
    <w:rsid w:val="002A0D4D"/>
    <w:rsid w:val="00474EEE"/>
    <w:rsid w:val="0059097B"/>
    <w:rsid w:val="00772629"/>
    <w:rsid w:val="00795E98"/>
    <w:rsid w:val="00955D73"/>
    <w:rsid w:val="00B44C91"/>
    <w:rsid w:val="00BE1B63"/>
    <w:rsid w:val="00D92A84"/>
    <w:rsid w:val="00E46BEE"/>
    <w:rsid w:val="00FD22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F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B44C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B44C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B44C91"/>
    <w:pPr>
      <w:widowControl w:val="0"/>
      <w:autoSpaceDE w:val="0"/>
      <w:autoSpaceDN w:val="0"/>
      <w:spacing w:after="0" w:line="240" w:lineRule="auto"/>
    </w:pPr>
    <w:rPr>
      <w:rFonts w:ascii="Calibri" w:eastAsia="Times New Roman" w:hAnsi="Calibri" w:cs="Calibri"/>
      <w:szCs w:val="20"/>
    </w:rPr>
  </w:style>
  <w:style w:type="character" w:customStyle="1" w:styleId="s1">
    <w:name w:val="s1"/>
    <w:basedOn w:val="a0"/>
    <w:rsid w:val="00B44C91"/>
  </w:style>
  <w:style w:type="character" w:customStyle="1" w:styleId="apple-converted-space">
    <w:name w:val="apple-converted-space"/>
    <w:basedOn w:val="a0"/>
    <w:rsid w:val="00E46BEE"/>
  </w:style>
  <w:style w:type="character" w:styleId="a3">
    <w:name w:val="Hyperlink"/>
    <w:basedOn w:val="a0"/>
    <w:uiPriority w:val="99"/>
    <w:semiHidden/>
    <w:unhideWhenUsed/>
    <w:rsid w:val="00E46BEE"/>
    <w:rPr>
      <w:color w:val="0000FF"/>
      <w:u w:val="single"/>
    </w:rPr>
  </w:style>
</w:styles>
</file>

<file path=word/webSettings.xml><?xml version="1.0" encoding="utf-8"?>
<w:webSettings xmlns:r="http://schemas.openxmlformats.org/officeDocument/2006/relationships" xmlns:w="http://schemas.openxmlformats.org/wordprocessingml/2006/main">
  <w:divs>
    <w:div w:id="88271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odeks.systecs.ru/nk_rf/nk_glava30/nk_st378_2.html" TargetMode="External"/><Relationship Id="rId4" Type="http://schemas.openxmlformats.org/officeDocument/2006/relationships/hyperlink" Target="http://kodeks.systecs.ru/nk_rf/nk_glava30/nk_st378_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623</Words>
  <Characters>3553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Поканаевка</dc:creator>
  <cp:keywords/>
  <dc:description/>
  <cp:lastModifiedBy>Поканаевка</cp:lastModifiedBy>
  <cp:revision>10</cp:revision>
  <cp:lastPrinted>2018-11-29T04:44:00Z</cp:lastPrinted>
  <dcterms:created xsi:type="dcterms:W3CDTF">2018-11-16T07:05:00Z</dcterms:created>
  <dcterms:modified xsi:type="dcterms:W3CDTF">2018-11-29T04:44:00Z</dcterms:modified>
</cp:coreProperties>
</file>